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881" w:type="dxa"/>
        <w:tblLook w:val="04A0" w:firstRow="1" w:lastRow="0" w:firstColumn="1" w:lastColumn="0" w:noHBand="0" w:noVBand="1"/>
      </w:tblPr>
      <w:tblGrid>
        <w:gridCol w:w="5387"/>
        <w:gridCol w:w="5387"/>
      </w:tblGrid>
      <w:tr w:rsidR="00157760" w:rsidRPr="00E966C8" w14:paraId="3780C718" w14:textId="77777777" w:rsidTr="00CF1E1E">
        <w:tc>
          <w:tcPr>
            <w:tcW w:w="10774" w:type="dxa"/>
            <w:gridSpan w:val="2"/>
            <w:tcBorders>
              <w:top w:val="single" w:sz="24" w:space="0" w:color="538135" w:themeColor="accent6" w:themeShade="BF"/>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14:paraId="071830CF" w14:textId="77777777" w:rsidR="00157760" w:rsidRPr="00AD1E0B" w:rsidRDefault="00157760" w:rsidP="00CF1E1E">
            <w:pPr>
              <w:jc w:val="center"/>
              <w:rPr>
                <w:rFonts w:ascii="Affectionately Yours" w:hAnsi="Affectionately Yours"/>
                <w:color w:val="538135" w:themeColor="accent6" w:themeShade="BF"/>
                <w:sz w:val="72"/>
                <w:szCs w:val="72"/>
              </w:rPr>
            </w:pPr>
            <w:r w:rsidRPr="00AD1E0B">
              <w:rPr>
                <w:rFonts w:ascii="Affectionately Yours" w:hAnsi="Affectionately Yours"/>
                <w:color w:val="538135" w:themeColor="accent6" w:themeShade="BF"/>
                <w:sz w:val="72"/>
                <w:szCs w:val="72"/>
              </w:rPr>
              <w:t>Ellwood Community Primary School</w:t>
            </w:r>
          </w:p>
          <w:p w14:paraId="46153AE2" w14:textId="77777777" w:rsidR="00157760" w:rsidRPr="00E966C8" w:rsidRDefault="00157760" w:rsidP="00CF1E1E">
            <w:pPr>
              <w:jc w:val="center"/>
              <w:rPr>
                <w:rFonts w:ascii="Affectionately Yours" w:hAnsi="Affectionately Yours"/>
                <w:sz w:val="72"/>
                <w:szCs w:val="72"/>
              </w:rPr>
            </w:pPr>
            <w:r w:rsidRPr="00AD1E0B">
              <w:rPr>
                <w:rFonts w:ascii="Affectionately Yours" w:hAnsi="Affectionately Yours"/>
                <w:color w:val="538135" w:themeColor="accent6" w:themeShade="BF"/>
                <w:sz w:val="48"/>
                <w:szCs w:val="72"/>
              </w:rPr>
              <w:t>Believe, Achieve, Belong</w:t>
            </w:r>
          </w:p>
        </w:tc>
      </w:tr>
      <w:tr w:rsidR="00157760" w14:paraId="49C48D9A" w14:textId="77777777" w:rsidTr="00CF1E1E">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tcPr>
          <w:p w14:paraId="6262B923" w14:textId="77777777" w:rsidR="00157760" w:rsidRDefault="00157760" w:rsidP="00CF1E1E">
            <w:pPr>
              <w:jc w:val="center"/>
            </w:pPr>
            <w:r>
              <w:rPr>
                <w:noProof/>
                <w:lang w:eastAsia="en-GB"/>
              </w:rPr>
              <w:drawing>
                <wp:anchor distT="0" distB="0" distL="114300" distR="114300" simplePos="0" relativeHeight="251659264" behindDoc="1" locked="0" layoutInCell="1" allowOverlap="1" wp14:anchorId="20F5E943" wp14:editId="15026B36">
                  <wp:simplePos x="0" y="0"/>
                  <wp:positionH relativeFrom="column">
                    <wp:posOffset>2510790</wp:posOffset>
                  </wp:positionH>
                  <wp:positionV relativeFrom="paragraph">
                    <wp:posOffset>238125</wp:posOffset>
                  </wp:positionV>
                  <wp:extent cx="1638935" cy="13944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1394460"/>
                          </a:xfrm>
                          <a:prstGeom prst="rect">
                            <a:avLst/>
                          </a:prstGeom>
                          <a:noFill/>
                        </pic:spPr>
                      </pic:pic>
                    </a:graphicData>
                  </a:graphic>
                  <wp14:sizeRelH relativeFrom="page">
                    <wp14:pctWidth>0</wp14:pctWidth>
                  </wp14:sizeRelH>
                  <wp14:sizeRelV relativeFrom="page">
                    <wp14:pctHeight>0</wp14:pctHeight>
                  </wp14:sizeRelV>
                </wp:anchor>
              </w:drawing>
            </w:r>
          </w:p>
          <w:p w14:paraId="00655041" w14:textId="77777777" w:rsidR="00157760" w:rsidRDefault="00157760" w:rsidP="00CF1E1E">
            <w:pPr>
              <w:jc w:val="center"/>
            </w:pPr>
          </w:p>
        </w:tc>
      </w:tr>
      <w:tr w:rsidR="00157760" w:rsidRPr="002D447B" w14:paraId="07840510" w14:textId="77777777" w:rsidTr="00CF1E1E">
        <w:tc>
          <w:tcPr>
            <w:tcW w:w="10774" w:type="dxa"/>
            <w:gridSpan w:val="2"/>
            <w:tcBorders>
              <w:top w:val="single" w:sz="2" w:space="0" w:color="FFFFFF" w:themeColor="background1"/>
              <w:left w:val="single" w:sz="24" w:space="0" w:color="538135" w:themeColor="accent6" w:themeShade="BF"/>
              <w:bottom w:val="single" w:sz="2" w:space="0" w:color="FFFFFF" w:themeColor="background1"/>
              <w:right w:val="single" w:sz="24" w:space="0" w:color="538135" w:themeColor="accent6" w:themeShade="BF"/>
            </w:tcBorders>
            <w:shd w:val="clear" w:color="auto" w:fill="E2EFD9" w:themeFill="accent6" w:themeFillTint="33"/>
          </w:tcPr>
          <w:p w14:paraId="14792B6F" w14:textId="6B0644A6" w:rsidR="00157760" w:rsidRPr="002D447B" w:rsidRDefault="00BD6A0F" w:rsidP="00CF1E1E">
            <w:pPr>
              <w:jc w:val="center"/>
              <w:rPr>
                <w:rFonts w:ascii="Affectionately Yours" w:hAnsi="Affectionately Yours"/>
                <w:sz w:val="56"/>
                <w:szCs w:val="56"/>
              </w:rPr>
            </w:pPr>
            <w:r>
              <w:rPr>
                <w:rFonts w:ascii="Affectionately Yours" w:hAnsi="Affectionately Yours"/>
                <w:color w:val="538135" w:themeColor="accent6" w:themeShade="BF"/>
                <w:sz w:val="72"/>
                <w:szCs w:val="56"/>
              </w:rPr>
              <w:t>Extreme weather guidance</w:t>
            </w:r>
          </w:p>
        </w:tc>
      </w:tr>
      <w:tr w:rsidR="00157760" w:rsidRPr="002D447B" w14:paraId="65DDAD44" w14:textId="77777777" w:rsidTr="00D80ECB">
        <w:tc>
          <w:tcPr>
            <w:tcW w:w="5387" w:type="dxa"/>
            <w:tcBorders>
              <w:top w:val="single" w:sz="2" w:space="0" w:color="FFFFFF" w:themeColor="background1"/>
              <w:left w:val="single" w:sz="24" w:space="0" w:color="538135" w:themeColor="accent6" w:themeShade="BF"/>
              <w:bottom w:val="single" w:sz="24" w:space="0" w:color="538135" w:themeColor="accent6" w:themeShade="BF"/>
              <w:right w:val="single" w:sz="2" w:space="0" w:color="FFFFFF" w:themeColor="background1"/>
            </w:tcBorders>
            <w:shd w:val="clear" w:color="auto" w:fill="auto"/>
          </w:tcPr>
          <w:p w14:paraId="6EC2F214" w14:textId="77777777" w:rsidR="00157760" w:rsidRDefault="00157760" w:rsidP="00CF1E1E">
            <w:pPr>
              <w:jc w:val="center"/>
              <w:rPr>
                <w:rFonts w:ascii="Twinkl" w:hAnsi="Twinkl"/>
                <w:sz w:val="24"/>
                <w:szCs w:val="24"/>
              </w:rPr>
            </w:pPr>
          </w:p>
          <w:p w14:paraId="47CDDD1B" w14:textId="4264B70F" w:rsidR="00157760" w:rsidRPr="002D447B" w:rsidRDefault="00157760" w:rsidP="00020C83">
            <w:pPr>
              <w:jc w:val="center"/>
              <w:rPr>
                <w:rFonts w:ascii="Twinkl" w:hAnsi="Twinkl"/>
                <w:sz w:val="24"/>
                <w:szCs w:val="24"/>
              </w:rPr>
            </w:pPr>
            <w:r w:rsidRPr="002D447B">
              <w:rPr>
                <w:rFonts w:ascii="Twinkl" w:hAnsi="Twinkl"/>
                <w:sz w:val="24"/>
                <w:szCs w:val="24"/>
              </w:rPr>
              <w:t>Date reviewed:</w:t>
            </w:r>
            <w:r>
              <w:rPr>
                <w:rFonts w:ascii="Twinkl" w:hAnsi="Twinkl"/>
                <w:sz w:val="24"/>
                <w:szCs w:val="24"/>
              </w:rPr>
              <w:t xml:space="preserve"> </w:t>
            </w:r>
            <w:r w:rsidR="000E35C5">
              <w:rPr>
                <w:rFonts w:ascii="Twinkl" w:hAnsi="Twinkl"/>
                <w:sz w:val="24"/>
                <w:szCs w:val="24"/>
              </w:rPr>
              <w:t>February 2026</w:t>
            </w:r>
          </w:p>
        </w:tc>
        <w:tc>
          <w:tcPr>
            <w:tcW w:w="5387" w:type="dxa"/>
            <w:tcBorders>
              <w:top w:val="single" w:sz="2" w:space="0" w:color="FFFFFF" w:themeColor="background1"/>
              <w:left w:val="single" w:sz="2" w:space="0" w:color="FFFFFF" w:themeColor="background1"/>
              <w:bottom w:val="single" w:sz="24" w:space="0" w:color="538135" w:themeColor="accent6" w:themeShade="BF"/>
              <w:right w:val="single" w:sz="24" w:space="0" w:color="538135" w:themeColor="accent6" w:themeShade="BF"/>
            </w:tcBorders>
            <w:shd w:val="clear" w:color="auto" w:fill="auto"/>
          </w:tcPr>
          <w:p w14:paraId="3FA827C1" w14:textId="77777777" w:rsidR="00157760" w:rsidRDefault="00157760" w:rsidP="00CF1E1E">
            <w:pPr>
              <w:jc w:val="center"/>
              <w:rPr>
                <w:rFonts w:ascii="Twinkl" w:hAnsi="Twinkl"/>
                <w:sz w:val="24"/>
                <w:szCs w:val="24"/>
              </w:rPr>
            </w:pPr>
          </w:p>
          <w:p w14:paraId="3109F3E0" w14:textId="4F5FCAE6" w:rsidR="00157760" w:rsidRPr="002D447B" w:rsidRDefault="00157760" w:rsidP="00020C83">
            <w:pPr>
              <w:jc w:val="center"/>
              <w:rPr>
                <w:rFonts w:ascii="Twinkl" w:hAnsi="Twinkl"/>
                <w:sz w:val="24"/>
                <w:szCs w:val="24"/>
              </w:rPr>
            </w:pPr>
            <w:r w:rsidRPr="002D447B">
              <w:rPr>
                <w:rFonts w:ascii="Twinkl" w:hAnsi="Twinkl"/>
                <w:sz w:val="24"/>
                <w:szCs w:val="24"/>
              </w:rPr>
              <w:t>Next renew date:</w:t>
            </w:r>
            <w:r>
              <w:rPr>
                <w:rFonts w:ascii="Twinkl" w:hAnsi="Twinkl"/>
                <w:sz w:val="24"/>
                <w:szCs w:val="24"/>
              </w:rPr>
              <w:t xml:space="preserve"> </w:t>
            </w:r>
            <w:r w:rsidR="000E35C5">
              <w:rPr>
                <w:rFonts w:ascii="Twinkl" w:hAnsi="Twinkl"/>
                <w:sz w:val="24"/>
                <w:szCs w:val="24"/>
              </w:rPr>
              <w:t xml:space="preserve"> February 2027</w:t>
            </w:r>
          </w:p>
        </w:tc>
      </w:tr>
      <w:tr w:rsidR="00016A8F" w:rsidRPr="002D447B" w14:paraId="2465014B" w14:textId="77777777" w:rsidTr="00016A8F">
        <w:tc>
          <w:tcPr>
            <w:tcW w:w="10774" w:type="dxa"/>
            <w:gridSpan w:val="2"/>
            <w:tc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tcBorders>
            <w:shd w:val="clear" w:color="auto" w:fill="auto"/>
          </w:tcPr>
          <w:p w14:paraId="4699BD06" w14:textId="460B6E17" w:rsidR="00016A8F" w:rsidRDefault="000E35C5" w:rsidP="000E35C5">
            <w:pPr>
              <w:jc w:val="center"/>
              <w:rPr>
                <w:rFonts w:ascii="Affectionately Yours" w:hAnsi="Affectionately Yours"/>
                <w:sz w:val="24"/>
                <w:szCs w:val="24"/>
                <w:u w:val="single"/>
              </w:rPr>
            </w:pPr>
            <w:r>
              <w:rPr>
                <w:rFonts w:ascii="Affectionately Yours" w:hAnsi="Affectionately Yours"/>
                <w:sz w:val="24"/>
                <w:szCs w:val="24"/>
                <w:u w:val="single"/>
              </w:rPr>
              <w:t>Statement</w:t>
            </w:r>
          </w:p>
          <w:p w14:paraId="41948EDB" w14:textId="77777777"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 xml:space="preserve">We will be considering this guidance when the MET office issues either an Amber or Red weather warning.  As we know in recent years these have been issued for snow and ice, severe storms, gales and extreme heat. </w:t>
            </w:r>
          </w:p>
          <w:p w14:paraId="7B3945BD" w14:textId="77777777"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Any of these warning will lead to consideration of this guidance and to carrying out risk assessments and could lead to a full or partial on-site closure.  Gloucestershire County Council procedures for emergency closure are followed.   In the event of any full or partial on-site closure we aim to offer a remote or home learning offer to pupils wherever possible.</w:t>
            </w:r>
          </w:p>
          <w:p w14:paraId="5F357039" w14:textId="7EBD26C0"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Ellwood Primary School is committed to, and will always make every effort to keep the school open. We do understand that any closure or partial closure has an impact on children’s education and we appreciate the frustration and difficulties that it causes in everyone’s busy lives for the children to be at home unexpectedly. However, the overriding factor in our decision making is the health and safety of the children.</w:t>
            </w:r>
          </w:p>
          <w:p w14:paraId="201F319F" w14:textId="77777777"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The issues we consider are:</w:t>
            </w:r>
          </w:p>
          <w:p w14:paraId="67BF5E5A" w14:textId="77777777"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The likely state of travel and transport on the roads bearing in mind:</w:t>
            </w:r>
          </w:p>
          <w:p w14:paraId="33938860" w14:textId="77777777" w:rsidR="00BD6A0F" w:rsidRPr="00336D7B" w:rsidRDefault="00BD6A0F" w:rsidP="00BD6A0F">
            <w:pPr>
              <w:numPr>
                <w:ilvl w:val="0"/>
                <w:numId w:val="14"/>
              </w:numPr>
              <w:spacing w:before="30" w:after="30" w:line="240" w:lineRule="auto"/>
              <w:textAlignment w:val="baseline"/>
              <w:rPr>
                <w:rFonts w:ascii="Twinkl" w:hAnsi="Twinkl"/>
              </w:rPr>
            </w:pPr>
            <w:r w:rsidRPr="00336D7B">
              <w:rPr>
                <w:rFonts w:ascii="Twinkl" w:hAnsi="Twinkl"/>
              </w:rPr>
              <w:t>The snow / ice on the roads generally.</w:t>
            </w:r>
          </w:p>
          <w:p w14:paraId="3DE39102" w14:textId="77777777" w:rsidR="00BD6A0F" w:rsidRPr="00336D7B" w:rsidRDefault="00BD6A0F" w:rsidP="00BD6A0F">
            <w:pPr>
              <w:numPr>
                <w:ilvl w:val="0"/>
                <w:numId w:val="14"/>
              </w:numPr>
              <w:spacing w:before="30" w:after="30" w:line="240" w:lineRule="auto"/>
              <w:textAlignment w:val="baseline"/>
              <w:rPr>
                <w:rFonts w:ascii="Twinkl" w:hAnsi="Twinkl"/>
              </w:rPr>
            </w:pPr>
            <w:r w:rsidRPr="00336D7B">
              <w:rPr>
                <w:rFonts w:ascii="Twinkl" w:hAnsi="Twinkl"/>
              </w:rPr>
              <w:t>The likelihood of trees and other obstacles either blocking or coming down in the roads.</w:t>
            </w:r>
          </w:p>
          <w:p w14:paraId="5E3ED42A" w14:textId="77777777" w:rsidR="00BD6A0F" w:rsidRPr="00336D7B" w:rsidRDefault="00BD6A0F" w:rsidP="00BD6A0F">
            <w:pPr>
              <w:numPr>
                <w:ilvl w:val="0"/>
                <w:numId w:val="14"/>
              </w:numPr>
              <w:spacing w:before="30" w:after="30" w:line="240" w:lineRule="auto"/>
              <w:textAlignment w:val="baseline"/>
              <w:rPr>
                <w:rFonts w:ascii="Twinkl" w:hAnsi="Twinkl"/>
              </w:rPr>
            </w:pPr>
            <w:r w:rsidRPr="00336D7B">
              <w:rPr>
                <w:rFonts w:ascii="Twinkl" w:hAnsi="Twinkl"/>
              </w:rPr>
              <w:t>The Met Office forecast for the whole day in terms of the conditions worsening.</w:t>
            </w:r>
          </w:p>
          <w:p w14:paraId="2B5E3251" w14:textId="77777777" w:rsidR="00BD6A0F" w:rsidRPr="00336D7B" w:rsidRDefault="00BD6A0F" w:rsidP="00BD6A0F">
            <w:pPr>
              <w:numPr>
                <w:ilvl w:val="0"/>
                <w:numId w:val="14"/>
              </w:numPr>
              <w:spacing w:before="30" w:after="30" w:line="240" w:lineRule="auto"/>
              <w:textAlignment w:val="baseline"/>
              <w:rPr>
                <w:rFonts w:ascii="Twinkl" w:hAnsi="Twinkl"/>
              </w:rPr>
            </w:pPr>
            <w:r w:rsidRPr="00336D7B">
              <w:rPr>
                <w:rFonts w:ascii="Twinkl" w:hAnsi="Twinkl"/>
              </w:rPr>
              <w:t xml:space="preserve">The advice being given by the </w:t>
            </w:r>
            <w:r w:rsidRPr="00BD6A0F">
              <w:rPr>
                <w:rFonts w:ascii="Twinkl" w:hAnsi="Twinkl"/>
              </w:rPr>
              <w:t>Gloucestershire</w:t>
            </w:r>
            <w:r w:rsidRPr="00336D7B">
              <w:rPr>
                <w:rFonts w:ascii="Twinkl" w:hAnsi="Twinkl"/>
              </w:rPr>
              <w:t xml:space="preserve"> County </w:t>
            </w:r>
            <w:r w:rsidRPr="00BD6A0F">
              <w:rPr>
                <w:rFonts w:ascii="Twinkl" w:hAnsi="Twinkl"/>
              </w:rPr>
              <w:t xml:space="preserve">Council </w:t>
            </w:r>
            <w:r w:rsidRPr="00336D7B">
              <w:rPr>
                <w:rFonts w:ascii="Twinkl" w:hAnsi="Twinkl"/>
              </w:rPr>
              <w:t>Health and Safety Officer.</w:t>
            </w:r>
          </w:p>
          <w:p w14:paraId="57BD05D8" w14:textId="77777777" w:rsidR="00BD6A0F" w:rsidRPr="00336D7B" w:rsidRDefault="00BD6A0F" w:rsidP="00BD6A0F">
            <w:pPr>
              <w:numPr>
                <w:ilvl w:val="0"/>
                <w:numId w:val="14"/>
              </w:numPr>
              <w:spacing w:before="30" w:after="30" w:line="240" w:lineRule="auto"/>
              <w:textAlignment w:val="baseline"/>
              <w:rPr>
                <w:rFonts w:ascii="Twinkl" w:hAnsi="Twinkl"/>
              </w:rPr>
            </w:pPr>
            <w:r w:rsidRPr="00336D7B">
              <w:rPr>
                <w:rFonts w:ascii="Twinkl" w:hAnsi="Twinkl"/>
              </w:rPr>
              <w:t xml:space="preserve">Whether enough staff will be able to be in school for the pupils when they arrive </w:t>
            </w:r>
          </w:p>
          <w:p w14:paraId="0996270F" w14:textId="77777777" w:rsidR="00BD6A0F" w:rsidRPr="00336D7B" w:rsidRDefault="00BD6A0F" w:rsidP="00BD6A0F">
            <w:pPr>
              <w:numPr>
                <w:ilvl w:val="0"/>
                <w:numId w:val="14"/>
              </w:numPr>
              <w:spacing w:before="30" w:after="30" w:line="240" w:lineRule="auto"/>
              <w:textAlignment w:val="baseline"/>
              <w:rPr>
                <w:rFonts w:ascii="Twinkl" w:hAnsi="Twinkl"/>
                <w:sz w:val="24"/>
                <w:szCs w:val="24"/>
              </w:rPr>
            </w:pPr>
            <w:r w:rsidRPr="00336D7B">
              <w:rPr>
                <w:rFonts w:ascii="Twinkl" w:hAnsi="Twinkl"/>
              </w:rPr>
              <w:t>Red warnings by definition, advise not to travel unless absolutely necessary</w:t>
            </w:r>
            <w:r w:rsidRPr="00336D7B">
              <w:rPr>
                <w:rFonts w:ascii="Twinkl" w:hAnsi="Twinkl"/>
                <w:sz w:val="24"/>
                <w:szCs w:val="24"/>
              </w:rPr>
              <w:t>.</w:t>
            </w:r>
          </w:p>
          <w:p w14:paraId="60651A07" w14:textId="77777777" w:rsidR="00BD6A0F" w:rsidRPr="00BD6A0F" w:rsidRDefault="00BD6A0F" w:rsidP="00BD6A0F">
            <w:pPr>
              <w:pStyle w:val="NormalWeb"/>
              <w:numPr>
                <w:ilvl w:val="0"/>
                <w:numId w:val="14"/>
              </w:numPr>
              <w:spacing w:before="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the conditions around the school site.</w:t>
            </w:r>
          </w:p>
          <w:p w14:paraId="21A4657F" w14:textId="099A13D1"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 xml:space="preserve">If the school does have to be closed a notice will be posted on the school website and we will strive to text or email parents and add to the school’s </w:t>
            </w:r>
            <w:r w:rsidRPr="00BD6A0F">
              <w:rPr>
                <w:rFonts w:ascii="Twinkl" w:eastAsiaTheme="minorHAnsi" w:hAnsi="Twinkl" w:cstheme="minorBidi"/>
                <w:sz w:val="22"/>
                <w:szCs w:val="22"/>
                <w:lang w:eastAsia="en-US"/>
              </w:rPr>
              <w:t>F</w:t>
            </w:r>
            <w:r w:rsidRPr="00BD6A0F">
              <w:rPr>
                <w:rFonts w:ascii="Twinkl" w:eastAsiaTheme="minorHAnsi" w:hAnsi="Twinkl" w:cstheme="minorBidi"/>
                <w:sz w:val="22"/>
                <w:szCs w:val="22"/>
                <w:lang w:eastAsia="en-US"/>
              </w:rPr>
              <w:t>acebook page and Dojo. The closure will also be</w:t>
            </w:r>
            <w:r w:rsidRPr="00BD6A0F">
              <w:rPr>
                <w:rFonts w:ascii="Twinkl" w:eastAsiaTheme="minorHAnsi" w:hAnsi="Twinkl" w:cstheme="minorBidi"/>
                <w:lang w:eastAsia="en-US"/>
              </w:rPr>
              <w:t xml:space="preserve"> </w:t>
            </w:r>
            <w:r w:rsidRPr="00BD6A0F">
              <w:rPr>
                <w:rFonts w:ascii="Twinkl" w:eastAsiaTheme="minorHAnsi" w:hAnsi="Twinkl" w:cstheme="minorBidi"/>
                <w:sz w:val="22"/>
                <w:szCs w:val="22"/>
                <w:lang w:eastAsia="en-US"/>
              </w:rPr>
              <w:t>reported to the</w:t>
            </w:r>
            <w:r w:rsidRPr="00BD6A0F">
              <w:rPr>
                <w:rFonts w:ascii="Twinkl" w:eastAsiaTheme="minorHAnsi" w:hAnsi="Twinkl" w:cstheme="minorBidi"/>
                <w:lang w:eastAsia="en-US"/>
              </w:rPr>
              <w:t xml:space="preserve"> </w:t>
            </w:r>
            <w:r w:rsidRPr="00BD6A0F">
              <w:rPr>
                <w:rFonts w:ascii="Twinkl" w:eastAsiaTheme="minorHAnsi" w:hAnsi="Twinkl" w:cstheme="minorBidi"/>
                <w:sz w:val="22"/>
                <w:szCs w:val="22"/>
                <w:lang w:eastAsia="en-US"/>
              </w:rPr>
              <w:lastRenderedPageBreak/>
              <w:t>Local Authority.   The school will make all practicable efforts to keep parents informed as to opening during severe weather conditions as early as possible.  Parents are also expected to check the website and/or make themselves aware of the radio broadcasts when it is clear that closure is a possibility.</w:t>
            </w:r>
          </w:p>
          <w:p w14:paraId="3AD682A4" w14:textId="1C75CE80" w:rsidR="00BD6A0F"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 xml:space="preserve">The school appreciates that pupils may arrive later than normal in severe weather; parents should contact the school to let them know they are on their way if they are likely to be delayed and to advise whether they need to order their child/ren a lunch.  Where the school is officially closed, all absence is classed as authorised.  </w:t>
            </w:r>
          </w:p>
          <w:p w14:paraId="704E2341" w14:textId="77777777" w:rsidR="0024654E"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In the event of snow and ice, pathways will be cleared.  Parents should remind children to stay on the cleared paths.</w:t>
            </w:r>
            <w:r w:rsidR="0024654E">
              <w:rPr>
                <w:rFonts w:ascii="Twinkl" w:eastAsiaTheme="minorHAnsi" w:hAnsi="Twinkl" w:cstheme="minorBidi"/>
                <w:sz w:val="22"/>
                <w:szCs w:val="22"/>
                <w:lang w:eastAsia="en-US"/>
              </w:rPr>
              <w:t xml:space="preserve">  </w:t>
            </w:r>
            <w:r w:rsidRPr="00BD6A0F">
              <w:rPr>
                <w:rFonts w:ascii="Twinkl" w:eastAsiaTheme="minorHAnsi" w:hAnsi="Twinkl" w:cstheme="minorBidi"/>
                <w:sz w:val="22"/>
                <w:szCs w:val="22"/>
                <w:lang w:eastAsia="en-US"/>
              </w:rPr>
              <w:t xml:space="preserve">Play times may be changed during severe weather.   </w:t>
            </w:r>
          </w:p>
          <w:p w14:paraId="15605900" w14:textId="4A9701C9" w:rsidR="00BD6A0F" w:rsidRPr="00BD6A0F" w:rsidRDefault="0024654E"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Pr>
                <w:rFonts w:ascii="Twinkl" w:eastAsiaTheme="minorHAnsi" w:hAnsi="Twinkl" w:cstheme="minorBidi"/>
                <w:sz w:val="22"/>
                <w:szCs w:val="22"/>
                <w:lang w:eastAsia="en-US"/>
              </w:rPr>
              <w:t>Parents are responsible for ensuring that their children are sent to school with adequate clothing etc. for the weather such as extra layers, coat, hat, gloves and suitable footwear such as wellies for cold/wet weather and with water, sun hat and sun cream for hot weather.</w:t>
            </w:r>
          </w:p>
          <w:p w14:paraId="0153E8F8" w14:textId="005F55CE" w:rsidR="000E35C5" w:rsidRPr="00BD6A0F" w:rsidRDefault="00BD6A0F" w:rsidP="00BD6A0F">
            <w:pPr>
              <w:pStyle w:val="NormalWeb"/>
              <w:spacing w:before="180" w:beforeAutospacing="0" w:after="180" w:afterAutospacing="0"/>
              <w:textAlignment w:val="baseline"/>
              <w:rPr>
                <w:rFonts w:ascii="Twinkl" w:eastAsiaTheme="minorHAnsi" w:hAnsi="Twinkl" w:cstheme="minorBidi"/>
                <w:sz w:val="22"/>
                <w:szCs w:val="22"/>
                <w:lang w:eastAsia="en-US"/>
              </w:rPr>
            </w:pPr>
            <w:r w:rsidRPr="00BD6A0F">
              <w:rPr>
                <w:rFonts w:ascii="Twinkl" w:eastAsiaTheme="minorHAnsi" w:hAnsi="Twinkl" w:cstheme="minorBidi"/>
                <w:sz w:val="22"/>
                <w:szCs w:val="22"/>
                <w:lang w:eastAsia="en-US"/>
              </w:rPr>
              <w:t>If the weather deteriorates during the school day every effort will be made to contact parents/carers of the situation and advise whether early pick-up is advisable.  The Headteacher is responsible for ensuring there is adequate supervision for children who may not be collected until usual ‘home time.</w:t>
            </w:r>
          </w:p>
          <w:p w14:paraId="1959C847" w14:textId="7EC42A5A" w:rsidR="000E35C5" w:rsidRPr="000E35C5" w:rsidRDefault="000E35C5" w:rsidP="00693E9C">
            <w:pPr>
              <w:pStyle w:val="NormalWeb"/>
              <w:spacing w:before="180" w:beforeAutospacing="0" w:after="180" w:afterAutospacing="0"/>
              <w:textAlignment w:val="baseline"/>
              <w:rPr>
                <w:rFonts w:ascii="Affectionately Yours" w:hAnsi="Affectionately Yours" w:cstheme="minorBidi"/>
                <w:u w:val="single"/>
              </w:rPr>
            </w:pPr>
          </w:p>
        </w:tc>
      </w:tr>
    </w:tbl>
    <w:p w14:paraId="4A708A0D" w14:textId="77777777" w:rsidR="005A5907" w:rsidRPr="00353CE0" w:rsidRDefault="0024654E" w:rsidP="00353CE0">
      <w:pPr>
        <w:jc w:val="center"/>
        <w:rPr>
          <w:rFonts w:ascii="Affectionately Yours" w:hAnsi="Affectionately Yours"/>
          <w:sz w:val="24"/>
          <w:szCs w:val="24"/>
          <w:u w:val="single"/>
        </w:rPr>
      </w:pPr>
    </w:p>
    <w:tbl>
      <w:tblPr>
        <w:tblStyle w:val="TableGrid2"/>
        <w:tblW w:w="10774" w:type="dxa"/>
        <w:tblInd w:w="-856" w:type="dxa"/>
        <w:tblLook w:val="04A0" w:firstRow="1" w:lastRow="0" w:firstColumn="1" w:lastColumn="0" w:noHBand="0" w:noVBand="1"/>
      </w:tblPr>
      <w:tblGrid>
        <w:gridCol w:w="5364"/>
        <w:gridCol w:w="2705"/>
        <w:gridCol w:w="2705"/>
      </w:tblGrid>
      <w:tr w:rsidR="00AB52CE" w:rsidRPr="00AE3981" w14:paraId="5429DA86" w14:textId="77777777" w:rsidTr="008F6E3F">
        <w:trPr>
          <w:trHeight w:val="598"/>
        </w:trPr>
        <w:tc>
          <w:tcPr>
            <w:tcW w:w="10774" w:type="dxa"/>
            <w:gridSpan w:val="3"/>
            <w:tcBorders>
              <w:top w:val="single" w:sz="18" w:space="0" w:color="538135" w:themeColor="accent6" w:themeShade="BF"/>
              <w:left w:val="single" w:sz="18" w:space="0" w:color="538135" w:themeColor="accent6" w:themeShade="BF"/>
              <w:right w:val="single" w:sz="18" w:space="0" w:color="538135" w:themeColor="accent6" w:themeShade="BF"/>
            </w:tcBorders>
            <w:shd w:val="clear" w:color="auto" w:fill="E2EFD9" w:themeFill="accent6" w:themeFillTint="33"/>
          </w:tcPr>
          <w:p w14:paraId="5A6CE1D3" w14:textId="77777777" w:rsidR="00AB52CE" w:rsidRPr="00AE3981" w:rsidRDefault="00AB52CE" w:rsidP="008F6E3F">
            <w:pPr>
              <w:spacing w:after="160" w:line="259" w:lineRule="auto"/>
              <w:jc w:val="center"/>
              <w:rPr>
                <w:rFonts w:ascii="Affectionately Yours" w:hAnsi="Affectionately Yours"/>
                <w:sz w:val="28"/>
              </w:rPr>
            </w:pPr>
            <w:r w:rsidRPr="00AE3981">
              <w:rPr>
                <w:rFonts w:ascii="Affectionately Yours" w:hAnsi="Affectionately Yours"/>
                <w:sz w:val="28"/>
              </w:rPr>
              <w:t>Monitoring and Review</w:t>
            </w:r>
          </w:p>
          <w:p w14:paraId="1E2031F9" w14:textId="77777777" w:rsidR="00AB52CE" w:rsidRPr="00AE3981" w:rsidRDefault="00AB52CE" w:rsidP="008F6E3F">
            <w:pPr>
              <w:spacing w:after="200" w:line="276" w:lineRule="auto"/>
              <w:jc w:val="center"/>
              <w:rPr>
                <w:rFonts w:ascii="Twinkl" w:eastAsia="Calibri" w:hAnsi="Twinkl" w:cs="Times New Roman"/>
              </w:rPr>
            </w:pPr>
            <w:r w:rsidRPr="00AE3981">
              <w:rPr>
                <w:rFonts w:ascii="Twinkl" w:eastAsia="Calibri" w:hAnsi="Twinkl" w:cs="Times New Roman"/>
              </w:rPr>
              <w:t>The Governing Body will review this policy annually and assess its implementation and effectiveness.</w:t>
            </w:r>
          </w:p>
        </w:tc>
      </w:tr>
      <w:tr w:rsidR="00AB52CE" w:rsidRPr="00AE3981" w14:paraId="7753BA0C" w14:textId="77777777" w:rsidTr="008F6E3F">
        <w:tc>
          <w:tcPr>
            <w:tcW w:w="5364" w:type="dxa"/>
            <w:tcBorders>
              <w:top w:val="single" w:sz="18" w:space="0" w:color="538135" w:themeColor="accent6" w:themeShade="BF"/>
              <w:left w:val="single" w:sz="18" w:space="0" w:color="538135" w:themeColor="accent6" w:themeShade="BF"/>
              <w:bottom w:val="single" w:sz="2" w:space="0" w:color="538135" w:themeColor="accent6" w:themeShade="BF"/>
              <w:right w:val="single" w:sz="2" w:space="0" w:color="538135" w:themeColor="accent6" w:themeShade="BF"/>
            </w:tcBorders>
          </w:tcPr>
          <w:p w14:paraId="64B121F1" w14:textId="77777777" w:rsidR="00AB52CE" w:rsidRPr="00AE3981" w:rsidRDefault="00AB52CE" w:rsidP="00421F8B">
            <w:pPr>
              <w:spacing w:after="160" w:line="259" w:lineRule="auto"/>
              <w:rPr>
                <w:rFonts w:ascii="Twinkl" w:hAnsi="Twinkl"/>
                <w:sz w:val="20"/>
              </w:rPr>
            </w:pPr>
          </w:p>
        </w:tc>
        <w:tc>
          <w:tcPr>
            <w:tcW w:w="2705" w:type="dxa"/>
            <w:tcBorders>
              <w:top w:val="single" w:sz="18" w:space="0" w:color="538135" w:themeColor="accent6" w:themeShade="BF"/>
              <w:left w:val="single" w:sz="2" w:space="0" w:color="538135" w:themeColor="accent6" w:themeShade="BF"/>
              <w:bottom w:val="single" w:sz="2" w:space="0" w:color="538135" w:themeColor="accent6" w:themeShade="BF"/>
              <w:right w:val="single" w:sz="8" w:space="0" w:color="538135" w:themeColor="accent6" w:themeShade="BF"/>
            </w:tcBorders>
          </w:tcPr>
          <w:p w14:paraId="7A6FFD87" w14:textId="77777777" w:rsidR="00AB52CE" w:rsidRPr="00AE3981" w:rsidRDefault="00AB52CE" w:rsidP="008F6E3F">
            <w:pPr>
              <w:rPr>
                <w:rFonts w:ascii="Twinkl" w:hAnsi="Twinkl"/>
                <w:sz w:val="20"/>
              </w:rPr>
            </w:pPr>
            <w:r w:rsidRPr="00AE3981">
              <w:rPr>
                <w:rFonts w:ascii="Twinkl" w:hAnsi="Twinkl"/>
                <w:sz w:val="20"/>
              </w:rPr>
              <w:t xml:space="preserve">By: </w:t>
            </w:r>
            <w:r w:rsidR="004E65A1">
              <w:rPr>
                <w:rFonts w:ascii="Twinkl" w:hAnsi="Twinkl"/>
                <w:sz w:val="20"/>
              </w:rPr>
              <w:t>Mrs Milford</w:t>
            </w:r>
          </w:p>
        </w:tc>
        <w:tc>
          <w:tcPr>
            <w:tcW w:w="2705" w:type="dxa"/>
            <w:tcBorders>
              <w:top w:val="single" w:sz="18" w:space="0" w:color="538135" w:themeColor="accent6" w:themeShade="BF"/>
              <w:left w:val="single" w:sz="8" w:space="0" w:color="538135" w:themeColor="accent6" w:themeShade="BF"/>
              <w:bottom w:val="single" w:sz="2" w:space="0" w:color="538135" w:themeColor="accent6" w:themeShade="BF"/>
              <w:right w:val="single" w:sz="18" w:space="0" w:color="538135" w:themeColor="accent6" w:themeShade="BF"/>
            </w:tcBorders>
          </w:tcPr>
          <w:p w14:paraId="355E2239" w14:textId="77777777" w:rsidR="00AB52CE" w:rsidRPr="00AE3981" w:rsidRDefault="00AB52CE" w:rsidP="008F6E3F">
            <w:pPr>
              <w:spacing w:after="160" w:line="259" w:lineRule="auto"/>
              <w:rPr>
                <w:rFonts w:ascii="Twinkl" w:hAnsi="Twinkl"/>
                <w:sz w:val="20"/>
              </w:rPr>
            </w:pPr>
            <w:r w:rsidRPr="00AE3981">
              <w:rPr>
                <w:rFonts w:ascii="Twinkl" w:hAnsi="Twinkl"/>
                <w:sz w:val="20"/>
              </w:rPr>
              <w:t xml:space="preserve">Signed: </w:t>
            </w:r>
            <w:r w:rsidR="004E65A1" w:rsidRPr="004E65A1">
              <w:rPr>
                <w:rFonts w:ascii="Affectionately Yours" w:hAnsi="Affectionately Yours"/>
                <w:sz w:val="20"/>
              </w:rPr>
              <w:t>Mrs Milford</w:t>
            </w:r>
          </w:p>
        </w:tc>
      </w:tr>
      <w:tr w:rsidR="00AB52CE" w:rsidRPr="00AE3981" w14:paraId="43B78CA3" w14:textId="77777777" w:rsidTr="008F6E3F">
        <w:tc>
          <w:tcPr>
            <w:tcW w:w="5364" w:type="dxa"/>
            <w:tcBorders>
              <w:top w:val="single" w:sz="2" w:space="0" w:color="538135" w:themeColor="accent6" w:themeShade="BF"/>
              <w:left w:val="single" w:sz="18" w:space="0" w:color="538135" w:themeColor="accent6" w:themeShade="BF"/>
              <w:bottom w:val="single" w:sz="18" w:space="0" w:color="538135" w:themeColor="accent6" w:themeShade="BF"/>
              <w:right w:val="single" w:sz="2" w:space="0" w:color="538135" w:themeColor="accent6" w:themeShade="BF"/>
            </w:tcBorders>
          </w:tcPr>
          <w:p w14:paraId="62155A4A" w14:textId="77777777" w:rsidR="00AB52CE" w:rsidRPr="00AE3981" w:rsidRDefault="00AB52CE" w:rsidP="00020C83">
            <w:pPr>
              <w:spacing w:after="160" w:line="259" w:lineRule="auto"/>
              <w:rPr>
                <w:rFonts w:ascii="Twinkl" w:hAnsi="Twinkl"/>
                <w:sz w:val="20"/>
              </w:rPr>
            </w:pPr>
            <w:r w:rsidRPr="00AE3981">
              <w:rPr>
                <w:rFonts w:ascii="Twinkl" w:hAnsi="Twinkl"/>
                <w:sz w:val="20"/>
              </w:rPr>
              <w:t>Due to be Reviewed</w:t>
            </w:r>
            <w:r w:rsidR="001E30AA">
              <w:rPr>
                <w:rFonts w:ascii="Twinkl" w:hAnsi="Twinkl"/>
                <w:sz w:val="20"/>
              </w:rPr>
              <w:t xml:space="preserve">: </w:t>
            </w:r>
          </w:p>
        </w:tc>
        <w:tc>
          <w:tcPr>
            <w:tcW w:w="2705" w:type="dxa"/>
            <w:tcBorders>
              <w:top w:val="single" w:sz="2" w:space="0" w:color="538135" w:themeColor="accent6" w:themeShade="BF"/>
              <w:left w:val="single" w:sz="2" w:space="0" w:color="538135" w:themeColor="accent6" w:themeShade="BF"/>
              <w:bottom w:val="single" w:sz="18" w:space="0" w:color="538135" w:themeColor="accent6" w:themeShade="BF"/>
              <w:right w:val="single" w:sz="8" w:space="0" w:color="538135" w:themeColor="accent6" w:themeShade="BF"/>
            </w:tcBorders>
          </w:tcPr>
          <w:p w14:paraId="6835B381" w14:textId="77777777" w:rsidR="00AB52CE" w:rsidRPr="00AE3981" w:rsidRDefault="00AB52CE" w:rsidP="008F6E3F">
            <w:pPr>
              <w:rPr>
                <w:rFonts w:ascii="Twinkl" w:hAnsi="Twinkl"/>
                <w:sz w:val="20"/>
              </w:rPr>
            </w:pPr>
          </w:p>
        </w:tc>
        <w:tc>
          <w:tcPr>
            <w:tcW w:w="2705" w:type="dxa"/>
            <w:tcBorders>
              <w:top w:val="single" w:sz="2" w:space="0" w:color="538135" w:themeColor="accent6" w:themeShade="BF"/>
              <w:left w:val="single" w:sz="8" w:space="0" w:color="538135" w:themeColor="accent6" w:themeShade="BF"/>
              <w:bottom w:val="single" w:sz="18" w:space="0" w:color="538135" w:themeColor="accent6" w:themeShade="BF"/>
              <w:right w:val="single" w:sz="18" w:space="0" w:color="538135" w:themeColor="accent6" w:themeShade="BF"/>
            </w:tcBorders>
          </w:tcPr>
          <w:p w14:paraId="6F3447E8" w14:textId="77777777" w:rsidR="00AB52CE" w:rsidRPr="00AE3981" w:rsidRDefault="00AB52CE" w:rsidP="008F6E3F">
            <w:pPr>
              <w:spacing w:after="160" w:line="259" w:lineRule="auto"/>
              <w:rPr>
                <w:rFonts w:ascii="Twinkl" w:hAnsi="Twinkl"/>
                <w:sz w:val="20"/>
              </w:rPr>
            </w:pPr>
          </w:p>
        </w:tc>
      </w:tr>
    </w:tbl>
    <w:p w14:paraId="739B1EB5" w14:textId="77777777" w:rsidR="00AB52CE" w:rsidRDefault="00AB52CE"/>
    <w:sectPr w:rsidR="00AB52CE" w:rsidSect="00157760">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3203" w14:textId="77777777" w:rsidR="00A04A0B" w:rsidRDefault="00A04A0B" w:rsidP="002A2D9A">
      <w:pPr>
        <w:spacing w:after="0" w:line="240" w:lineRule="auto"/>
      </w:pPr>
      <w:r>
        <w:separator/>
      </w:r>
    </w:p>
  </w:endnote>
  <w:endnote w:type="continuationSeparator" w:id="0">
    <w:p w14:paraId="08022EC2" w14:textId="77777777" w:rsidR="00A04A0B" w:rsidRDefault="00A04A0B" w:rsidP="002A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ffectionately Yours">
    <w:panose1 w:val="00000000000000000000"/>
    <w:charset w:val="00"/>
    <w:family w:val="auto"/>
    <w:pitch w:val="variable"/>
    <w:sig w:usb0="00000007" w:usb1="00000000" w:usb2="00000000" w:usb3="00000000" w:csb0="00000003"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491667"/>
      <w:docPartObj>
        <w:docPartGallery w:val="Page Numbers (Bottom of Page)"/>
        <w:docPartUnique/>
      </w:docPartObj>
    </w:sdtPr>
    <w:sdtEndPr>
      <w:rPr>
        <w:noProof/>
      </w:rPr>
    </w:sdtEndPr>
    <w:sdtContent>
      <w:p w14:paraId="64B82C44" w14:textId="77777777" w:rsidR="002A2D9A" w:rsidRDefault="002A2D9A">
        <w:pPr>
          <w:pStyle w:val="Footer"/>
          <w:jc w:val="center"/>
        </w:pPr>
        <w:r>
          <w:fldChar w:fldCharType="begin"/>
        </w:r>
        <w:r>
          <w:instrText xml:space="preserve"> PAGE   \* MERGEFORMAT </w:instrText>
        </w:r>
        <w:r>
          <w:fldChar w:fldCharType="separate"/>
        </w:r>
        <w:r w:rsidR="008B444E">
          <w:rPr>
            <w:noProof/>
          </w:rPr>
          <w:t>2</w:t>
        </w:r>
        <w:r>
          <w:rPr>
            <w:noProof/>
          </w:rPr>
          <w:fldChar w:fldCharType="end"/>
        </w:r>
      </w:p>
    </w:sdtContent>
  </w:sdt>
  <w:p w14:paraId="08872531" w14:textId="77777777" w:rsidR="002A2D9A" w:rsidRDefault="002A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AF1E" w14:textId="77777777" w:rsidR="00A04A0B" w:rsidRDefault="00A04A0B" w:rsidP="002A2D9A">
      <w:pPr>
        <w:spacing w:after="0" w:line="240" w:lineRule="auto"/>
      </w:pPr>
      <w:r>
        <w:separator/>
      </w:r>
    </w:p>
  </w:footnote>
  <w:footnote w:type="continuationSeparator" w:id="0">
    <w:p w14:paraId="4C128864" w14:textId="77777777" w:rsidR="00A04A0B" w:rsidRDefault="00A04A0B" w:rsidP="002A2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2899"/>
    <w:multiLevelType w:val="hybridMultilevel"/>
    <w:tmpl w:val="6D50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A50EB"/>
    <w:multiLevelType w:val="hybridMultilevel"/>
    <w:tmpl w:val="2D84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050D5"/>
    <w:multiLevelType w:val="hybridMultilevel"/>
    <w:tmpl w:val="7F74F33C"/>
    <w:lvl w:ilvl="0" w:tplc="66A2ACC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D0C8E"/>
    <w:multiLevelType w:val="hybridMultilevel"/>
    <w:tmpl w:val="5472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7731F"/>
    <w:multiLevelType w:val="hybridMultilevel"/>
    <w:tmpl w:val="D50E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D0D16"/>
    <w:multiLevelType w:val="hybridMultilevel"/>
    <w:tmpl w:val="3404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4F2F"/>
    <w:multiLevelType w:val="multilevel"/>
    <w:tmpl w:val="182A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7577AC"/>
    <w:multiLevelType w:val="hybridMultilevel"/>
    <w:tmpl w:val="3EB03E4E"/>
    <w:lvl w:ilvl="0" w:tplc="9416A6CC">
      <w:start w:val="1"/>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847BA"/>
    <w:multiLevelType w:val="hybridMultilevel"/>
    <w:tmpl w:val="BB7E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53A11"/>
    <w:multiLevelType w:val="hybridMultilevel"/>
    <w:tmpl w:val="20A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02970"/>
    <w:multiLevelType w:val="singleLevel"/>
    <w:tmpl w:val="66A2AC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AB5C6F"/>
    <w:multiLevelType w:val="hybridMultilevel"/>
    <w:tmpl w:val="A5322170"/>
    <w:lvl w:ilvl="0" w:tplc="2514C9FE">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FD2CAD"/>
    <w:multiLevelType w:val="hybridMultilevel"/>
    <w:tmpl w:val="6DA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E6B07"/>
    <w:multiLevelType w:val="hybridMultilevel"/>
    <w:tmpl w:val="AB0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13"/>
  </w:num>
  <w:num w:numId="5">
    <w:abstractNumId w:val="0"/>
  </w:num>
  <w:num w:numId="6">
    <w:abstractNumId w:val="7"/>
  </w:num>
  <w:num w:numId="7">
    <w:abstractNumId w:val="3"/>
  </w:num>
  <w:num w:numId="8">
    <w:abstractNumId w:val="4"/>
  </w:num>
  <w:num w:numId="9">
    <w:abstractNumId w:val="1"/>
  </w:num>
  <w:num w:numId="10">
    <w:abstractNumId w:val="10"/>
  </w:num>
  <w:num w:numId="11">
    <w:abstractNumId w:val="12"/>
  </w:num>
  <w:num w:numId="12">
    <w:abstractNumId w:val="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60"/>
    <w:rsid w:val="00016A8F"/>
    <w:rsid w:val="00020C83"/>
    <w:rsid w:val="00026E0F"/>
    <w:rsid w:val="000B3E51"/>
    <w:rsid w:val="000E35C5"/>
    <w:rsid w:val="00157760"/>
    <w:rsid w:val="00162FEE"/>
    <w:rsid w:val="001D4A37"/>
    <w:rsid w:val="001E30AA"/>
    <w:rsid w:val="00244A01"/>
    <w:rsid w:val="0024654E"/>
    <w:rsid w:val="002A2D9A"/>
    <w:rsid w:val="002F7BCA"/>
    <w:rsid w:val="00353CE0"/>
    <w:rsid w:val="00421F8B"/>
    <w:rsid w:val="00485966"/>
    <w:rsid w:val="004E65A1"/>
    <w:rsid w:val="00693E9C"/>
    <w:rsid w:val="00774A13"/>
    <w:rsid w:val="00783564"/>
    <w:rsid w:val="008B444E"/>
    <w:rsid w:val="00935584"/>
    <w:rsid w:val="00A04A0B"/>
    <w:rsid w:val="00AB52CE"/>
    <w:rsid w:val="00B14D4A"/>
    <w:rsid w:val="00B55009"/>
    <w:rsid w:val="00BD6A0F"/>
    <w:rsid w:val="00C52EE7"/>
    <w:rsid w:val="00C85E0E"/>
    <w:rsid w:val="00D80ECB"/>
    <w:rsid w:val="00EE01E9"/>
    <w:rsid w:val="00FD1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A92D"/>
  <w15:chartTrackingRefBased/>
  <w15:docId w15:val="{17C7D3E2-BF5D-456B-B0C2-5A171332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AB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D9A"/>
  </w:style>
  <w:style w:type="paragraph" w:styleId="Footer">
    <w:name w:val="footer"/>
    <w:basedOn w:val="Normal"/>
    <w:link w:val="FooterChar"/>
    <w:uiPriority w:val="99"/>
    <w:unhideWhenUsed/>
    <w:rsid w:val="002A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D9A"/>
  </w:style>
  <w:style w:type="paragraph" w:styleId="ListParagraph">
    <w:name w:val="List Paragraph"/>
    <w:basedOn w:val="Normal"/>
    <w:uiPriority w:val="34"/>
    <w:qFormat/>
    <w:rsid w:val="00016A8F"/>
    <w:pPr>
      <w:spacing w:after="200" w:line="276" w:lineRule="auto"/>
      <w:ind w:left="720"/>
      <w:contextualSpacing/>
    </w:pPr>
  </w:style>
  <w:style w:type="character" w:styleId="Hyperlink">
    <w:name w:val="Hyperlink"/>
    <w:basedOn w:val="DefaultParagraphFont"/>
    <w:uiPriority w:val="99"/>
    <w:unhideWhenUsed/>
    <w:rsid w:val="00016A8F"/>
    <w:rPr>
      <w:color w:val="0563C1" w:themeColor="hyperlink"/>
      <w:u w:val="single"/>
    </w:rPr>
  </w:style>
  <w:style w:type="paragraph" w:customStyle="1" w:styleId="Default">
    <w:name w:val="Default"/>
    <w:rsid w:val="00016A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D6A0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7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173B-16FA-4EDB-B4C2-0DF7CC2A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Peart</dc:creator>
  <cp:keywords/>
  <dc:description/>
  <cp:lastModifiedBy>Linda Edwards</cp:lastModifiedBy>
  <cp:revision>4</cp:revision>
  <cp:lastPrinted>2024-02-07T11:31:00Z</cp:lastPrinted>
  <dcterms:created xsi:type="dcterms:W3CDTF">2026-02-02T11:21:00Z</dcterms:created>
  <dcterms:modified xsi:type="dcterms:W3CDTF">2026-02-02T11:27:00Z</dcterms:modified>
</cp:coreProperties>
</file>